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AE11C" w14:textId="77777777" w:rsidR="00003498" w:rsidRDefault="00FD1F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ab/>
      </w: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ab/>
      </w: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ab/>
      </w: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ab/>
      </w: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ab/>
      </w:r>
      <w:r>
        <w:rPr>
          <w:noProof/>
        </w:rPr>
        <w:drawing>
          <wp:anchor distT="152400" distB="152400" distL="152400" distR="152400" simplePos="0" relativeHeight="251658240" behindDoc="0" locked="0" layoutInCell="1" hidden="0" allowOverlap="1" wp14:anchorId="780DDECA" wp14:editId="4728D0D6">
            <wp:simplePos x="0" y="0"/>
            <wp:positionH relativeFrom="column">
              <wp:posOffset>1367077</wp:posOffset>
            </wp:positionH>
            <wp:positionV relativeFrom="paragraph">
              <wp:posOffset>-572015</wp:posOffset>
            </wp:positionV>
            <wp:extent cx="912480" cy="1164172"/>
            <wp:effectExtent l="0" t="0" r="0" b="0"/>
            <wp:wrapSquare wrapText="bothSides" distT="152400" distB="152400" distL="152400" distR="1524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2480" cy="11641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59264" behindDoc="0" locked="0" layoutInCell="1" hidden="0" allowOverlap="1" wp14:anchorId="03E0797D" wp14:editId="55A1586C">
            <wp:simplePos x="0" y="0"/>
            <wp:positionH relativeFrom="column">
              <wp:posOffset>2596542</wp:posOffset>
            </wp:positionH>
            <wp:positionV relativeFrom="paragraph">
              <wp:posOffset>-572015</wp:posOffset>
            </wp:positionV>
            <wp:extent cx="914271" cy="1164172"/>
            <wp:effectExtent l="0" t="0" r="0" b="0"/>
            <wp:wrapSquare wrapText="bothSides" distT="152400" distB="152400" distL="152400" distR="1524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271" cy="11641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hidden="0" allowOverlap="1" wp14:anchorId="29CA00ED" wp14:editId="459247D5">
            <wp:simplePos x="0" y="0"/>
            <wp:positionH relativeFrom="column">
              <wp:posOffset>3834643</wp:posOffset>
            </wp:positionH>
            <wp:positionV relativeFrom="paragraph">
              <wp:posOffset>-572015</wp:posOffset>
            </wp:positionV>
            <wp:extent cx="1037716" cy="1164172"/>
            <wp:effectExtent l="0" t="0" r="0" b="0"/>
            <wp:wrapSquare wrapText="bothSides" distT="152400" distB="152400" distL="152400" distR="1524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7716" cy="11641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AAC2A4" w14:textId="77777777" w:rsidR="00003498" w:rsidRDefault="000034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32"/>
          <w:szCs w:val="32"/>
        </w:rPr>
      </w:pPr>
    </w:p>
    <w:p w14:paraId="3EF9F4C1" w14:textId="77777777" w:rsidR="00003498" w:rsidRDefault="000034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32"/>
          <w:szCs w:val="32"/>
        </w:rPr>
      </w:pPr>
    </w:p>
    <w:p w14:paraId="162F6E9A" w14:textId="77777777" w:rsidR="00003498" w:rsidRDefault="000034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32"/>
          <w:szCs w:val="32"/>
        </w:rPr>
      </w:pPr>
    </w:p>
    <w:p w14:paraId="34B2BF4C" w14:textId="77777777" w:rsidR="00003498" w:rsidRDefault="00FD1F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32"/>
          <w:szCs w:val="32"/>
        </w:rPr>
      </w:pP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>Comment réagissent les syndicats CFDT,CGT,FO, face à la crise du Covid-19 ?</w:t>
      </w:r>
    </w:p>
    <w:p w14:paraId="486186AC" w14:textId="77777777" w:rsidR="00003498" w:rsidRDefault="0000349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607859F0" w14:textId="77777777" w:rsidR="00003498" w:rsidRDefault="00FD1FD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Même en télétravail, les responsables syndicaux sont très actifs en soutien à des équipes souvent en difficulté, si ce n’est dépassées par une crise aussi grave qu’inédite.</w:t>
      </w:r>
    </w:p>
    <w:p w14:paraId="041F23C8" w14:textId="77777777" w:rsidR="00003498" w:rsidRDefault="00FD1FD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Si le mot est peu prononcé, derrière la maladie c’est la mort de milliers de person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nes et donc de salariés qui inquiète. La confrontation à ce risque mortel dont personne n’est à l’abri explique la diversité des comportements individuels des délégués, il est illusoire de cerner un comportement type. Chacun réagit comme il l’entend, quand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il réagit...</w:t>
      </w:r>
    </w:p>
    <w:p w14:paraId="39AC7018" w14:textId="77777777" w:rsidR="00003498" w:rsidRDefault="0000349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27552AA7" w14:textId="77777777" w:rsidR="00003498" w:rsidRDefault="00FD1FD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Les leaders syndicaux multiplient les téléconférences internes mais aussi en intersyndicales et avec les membres du gouvernement. Les contacts avec les organisations patronales sont fréquents. Il y a donc beaucoup de concertations et l’espri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t de responsabilité prédomine.</w:t>
      </w:r>
    </w:p>
    <w:p w14:paraId="09520BA8" w14:textId="77777777" w:rsidR="00003498" w:rsidRDefault="0000349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2B95EE58" w14:textId="77777777" w:rsidR="00003498" w:rsidRDefault="00FD1FD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Notons une grande réserve sur la loi d’urgence et les ordonnances.</w:t>
      </w:r>
    </w:p>
    <w:p w14:paraId="31E5764B" w14:textId="77777777" w:rsidR="00003498" w:rsidRDefault="0000349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4AF7EA4C" w14:textId="77777777" w:rsidR="00003498" w:rsidRDefault="00FD1FD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Tous les syndicats donne évidemment la priorité à la protection de la santé sur toute autres préoccupations notamment économiques.</w:t>
      </w:r>
    </w:p>
    <w:p w14:paraId="23E4314A" w14:textId="77777777" w:rsidR="00003498" w:rsidRDefault="0000349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443A8E5" w14:textId="77777777" w:rsidR="00003498" w:rsidRDefault="00FD1FD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Les 3 premiers syndicats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réagissent de manières différentes.</w:t>
      </w:r>
    </w:p>
    <w:p w14:paraId="32B317D5" w14:textId="77777777" w:rsidR="00003498" w:rsidRDefault="00FD1FD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La CGT explique par le menu comment utiliser le droit d’alerte et diffuse des «  repères revendicatifs ».</w:t>
      </w:r>
    </w:p>
    <w:p w14:paraId="1BA61A87" w14:textId="77777777" w:rsidR="00003498" w:rsidRDefault="00FD1FD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La CFDT multiplie les informations questions-réponses sur « quels sont vos droits » et insiste sur les mesures de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protection au travail et le recours au chômage partiel.</w:t>
      </w:r>
    </w:p>
    <w:p w14:paraId="4E545FD8" w14:textId="77777777" w:rsidR="00003498" w:rsidRDefault="00FD1FD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FO demande un accord national sur le télétravail.</w:t>
      </w:r>
    </w:p>
    <w:p w14:paraId="15EDC128" w14:textId="77777777" w:rsidR="00003498" w:rsidRDefault="0000349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5D17CD48" w14:textId="77777777" w:rsidR="00003498" w:rsidRDefault="00FD1FD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Nous voyons ainsi se dessiner 2 approches syndicales bien distinctes. Alors que la CFDT demande à ses équipes d’être exigeante sur les mesures de protection et la négociation en CSE des nouvelles organisations du travail, la CGT est plutôt sur une posture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de retrait des postes de travail avec la généralisation du droit d’alerte et de retrait. La confédération FO laisse ses fédérations agir et diffuse les positions de celles ci.</w:t>
      </w:r>
    </w:p>
    <w:p w14:paraId="752B345F" w14:textId="77777777" w:rsidR="00003498" w:rsidRDefault="0000349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15850BF6" w14:textId="77777777" w:rsidR="00003498" w:rsidRDefault="00FD1FD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Reprenons ce que disent les sites de chaque syndicat.</w:t>
      </w:r>
    </w:p>
    <w:p w14:paraId="2C28A221" w14:textId="77777777" w:rsidR="00003498" w:rsidRDefault="0000349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2DE08396" w14:textId="77777777" w:rsidR="00003498" w:rsidRDefault="00FD1FD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  <w:u w:val="single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  <w:u w:val="single"/>
        </w:rPr>
        <w:t>La CFDT:</w:t>
      </w:r>
    </w:p>
    <w:p w14:paraId="1924E2CB" w14:textId="77777777" w:rsidR="00003498" w:rsidRDefault="0000349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371D3C4B" w14:textId="77777777" w:rsidR="00003498" w:rsidRDefault="00FD1FD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Le premier syndicat est celui qui diffuse le plus d’informations générales et précises dans la rubrique «  quels sont vos droits « .</w:t>
      </w:r>
    </w:p>
    <w:p w14:paraId="779EEC13" w14:textId="77777777" w:rsidR="00003498" w:rsidRDefault="0000349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26D38526" w14:textId="77777777" w:rsidR="00003498" w:rsidRDefault="00FD1FD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Le discours prioritaire vise les services publics, assurer la continuité du service public avec le leitmotiv « faire confi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ance aux agents ».</w:t>
      </w:r>
    </w:p>
    <w:p w14:paraId="1BA7BA2E" w14:textId="77777777" w:rsidR="00003498" w:rsidRDefault="0000349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C9E331B" w14:textId="77777777" w:rsidR="00003498" w:rsidRDefault="00FD1FD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Avant le retrait, il est insisté sur les moyens et mesures de protection, sur la concertation voire la négociation d’organisations du travail sécurisées.</w:t>
      </w:r>
    </w:p>
    <w:p w14:paraId="2C1B55B9" w14:textId="77777777" w:rsidR="00003498" w:rsidRDefault="0000349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2FB4558D" w14:textId="77777777" w:rsidR="00003498" w:rsidRDefault="00FD1FD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Enfin, il est impossible de citer la liste du matériel Covid 19 delà rubrique « 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quels sont vos droits ».</w:t>
      </w:r>
    </w:p>
    <w:p w14:paraId="3442D6AB" w14:textId="77777777" w:rsidR="00003498" w:rsidRDefault="00FD1FD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«  mon employeur peut il me refuser le télétravail alors que mon poste le permet « </w:t>
      </w:r>
    </w:p>
    <w:p w14:paraId="03322CCD" w14:textId="77777777" w:rsidR="00003498" w:rsidRDefault="00FD1FD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«  mon entreprise reste ouverte, suis je obligé de me rendre sur le lieu de travail »</w:t>
      </w:r>
    </w:p>
    <w:p w14:paraId="36ED5D4F" w14:textId="77777777" w:rsidR="00003498" w:rsidRDefault="0000349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4B217951" w14:textId="77777777" w:rsidR="00003498" w:rsidRDefault="00FD1FD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A noter l’urgence à faire un don au secours populaire et la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demande de ne pas distribuer de dividendes.</w:t>
      </w:r>
    </w:p>
    <w:p w14:paraId="5E37EC32" w14:textId="77777777" w:rsidR="00003498" w:rsidRDefault="0000349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  <w:u w:val="single"/>
        </w:rPr>
      </w:pPr>
    </w:p>
    <w:p w14:paraId="226D16DA" w14:textId="77777777" w:rsidR="00003498" w:rsidRDefault="00FD1FD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  <w:u w:val="single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  <w:u w:val="single"/>
        </w:rPr>
        <w:t>La CGT:</w:t>
      </w:r>
    </w:p>
    <w:p w14:paraId="4E12771F" w14:textId="77777777" w:rsidR="00003498" w:rsidRDefault="0000349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3570B681" w14:textId="77777777" w:rsidR="00003498" w:rsidRDefault="00FD1FD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Un tract national est proposé aux sections syndicales « la priorité c’est protéger ».</w:t>
      </w:r>
    </w:p>
    <w:p w14:paraId="40164F53" w14:textId="77777777" w:rsidR="00003498" w:rsidRDefault="0000349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32EE028A" w14:textId="77777777" w:rsidR="00003498" w:rsidRDefault="00FD1FD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En filigrane revient toujours cette phrase: « le droit du travail ne doit pas être confiné »</w:t>
      </w:r>
    </w:p>
    <w:p w14:paraId="6FE4245F" w14:textId="77777777" w:rsidR="00003498" w:rsidRDefault="0000349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1E545237" w14:textId="77777777" w:rsidR="00003498" w:rsidRDefault="00FD1FD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« Le gouvernement profite de manière scandaleuse de la crise sanitaire pour déroger aux règles du droit du travail. »</w:t>
      </w:r>
    </w:p>
    <w:p w14:paraId="23E2CBA5" w14:textId="77777777" w:rsidR="00003498" w:rsidRDefault="0000349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4EAB2D3E" w14:textId="77777777" w:rsidR="00003498" w:rsidRDefault="00FD1FD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L’édito confédéral résume la position: «  En résumé, toujours autant d’ambiguïté dans les discours du pouvoir ».</w:t>
      </w:r>
    </w:p>
    <w:p w14:paraId="17F37520" w14:textId="77777777" w:rsidR="00003498" w:rsidRDefault="0000349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71E0F8AE" w14:textId="77777777" w:rsidR="00003498" w:rsidRDefault="00FD1FD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A noter un dossier très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complet sur les modalités du droit de retrait.</w:t>
      </w:r>
    </w:p>
    <w:p w14:paraId="5EB123EB" w14:textId="77777777" w:rsidR="00003498" w:rsidRDefault="0000349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4CBBE030" w14:textId="77777777" w:rsidR="00003498" w:rsidRDefault="0000349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5E9467E7" w14:textId="77777777" w:rsidR="00003498" w:rsidRDefault="0000349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7E62FA48" w14:textId="77777777" w:rsidR="00003498" w:rsidRDefault="00FD1FD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  <w:u w:val="single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  <w:u w:val="single"/>
        </w:rPr>
        <w:t>FO:</w:t>
      </w:r>
    </w:p>
    <w:p w14:paraId="3628958A" w14:textId="77777777" w:rsidR="00003498" w:rsidRDefault="0000349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4DFDB2DD" w14:textId="77777777" w:rsidR="00003498" w:rsidRDefault="00FD1FD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L’intérêt financier ne doit pas passer avant la santé, message relayé par la chimie, le bâtiment, la métallurgie.</w:t>
      </w:r>
    </w:p>
    <w:p w14:paraId="18C39910" w14:textId="77777777" w:rsidR="00003498" w:rsidRDefault="0000349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22D3A6F3" w14:textId="77777777" w:rsidR="00003498" w:rsidRDefault="00FD1FD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8 millions de télétravail leurs hors de tout accord collectif, FO demande l’ouverture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de négociations sur le télétravail.</w:t>
      </w:r>
    </w:p>
    <w:p w14:paraId="2CB86B3B" w14:textId="77777777" w:rsidR="00003498" w:rsidRDefault="0000349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39F67DB1" w14:textId="77777777" w:rsidR="00003498" w:rsidRDefault="00FD1FD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Enfin notons les réticences au travail des étudiants «  Étudiants, la chair à canon »</w:t>
      </w:r>
    </w:p>
    <w:p w14:paraId="4040BF2D" w14:textId="77777777" w:rsidR="00003498" w:rsidRDefault="0000349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EF2ECF4" w14:textId="77777777" w:rsidR="00003498" w:rsidRDefault="00FD1FD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Pour plus d’informations allez sur les sites qui sont mis à jour très rapidement.</w:t>
      </w:r>
    </w:p>
    <w:p w14:paraId="18790AAF" w14:textId="77777777" w:rsidR="00003498" w:rsidRDefault="0000349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769B9E55" w14:textId="77777777" w:rsidR="00003498" w:rsidRDefault="0000349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4B161D03" w14:textId="77777777" w:rsidR="00003498" w:rsidRDefault="00FD1FD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  <w:u w:val="single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  <w:u w:val="single"/>
        </w:rPr>
        <w:t>Pour finir quelques conseils aux DRH:</w:t>
      </w:r>
    </w:p>
    <w:p w14:paraId="2A63D8ED" w14:textId="77777777" w:rsidR="00003498" w:rsidRDefault="0000349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5385D7F5" w14:textId="77777777" w:rsidR="00003498" w:rsidRDefault="00FD1FD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Les mili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tants syndicaux sont comme les DRH, ils veulent bien faire mais sont très inquiets, voire angoissés, quand c’est ainsi il faut prendre le temps ( je sais!) pour aller à leur rencontre.</w:t>
      </w:r>
    </w:p>
    <w:p w14:paraId="50BAC65E" w14:textId="77777777" w:rsidR="00003498" w:rsidRDefault="00FD1FD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Organiser au moins une réunion du CSE même par téléconférence.</w:t>
      </w:r>
    </w:p>
    <w:p w14:paraId="2858E15C" w14:textId="77777777" w:rsidR="00003498" w:rsidRDefault="00FD1FD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Ne pas perdre de temps à polémiquer, c’est inutile.</w:t>
      </w:r>
    </w:p>
    <w:p w14:paraId="74CA5EC2" w14:textId="77777777" w:rsidR="00003498" w:rsidRDefault="00FD1FD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Informer très souvent des mesures que vous prenez et demander un feed-back.</w:t>
      </w:r>
    </w:p>
    <w:p w14:paraId="12A23E9A" w14:textId="77777777" w:rsidR="00003498" w:rsidRDefault="00FD1FD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Faites confiance aux initiatives individuelles, tout le monde est dans l’urgence.</w:t>
      </w:r>
    </w:p>
    <w:p w14:paraId="754852D0" w14:textId="77777777" w:rsidR="00003498" w:rsidRDefault="00FD1FD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Pour les primes défiscalisées ne faites pas co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mme ces grands patrons qui les annoncent au 20 heures! Négociez</w:t>
      </w:r>
      <w:commentRangeStart w:id="1"/>
      <w:r>
        <w:rPr>
          <w:rFonts w:ascii="Helvetica Neue" w:eastAsia="Helvetica Neue" w:hAnsi="Helvetica Neue" w:cs="Helvetica Neue"/>
          <w:color w:val="000000"/>
          <w:sz w:val="22"/>
          <w:szCs w:val="22"/>
        </w:rPr>
        <w:t>.</w:t>
      </w:r>
      <w:commentRangeEnd w:id="1"/>
      <w:r>
        <w:commentReference w:id="1"/>
      </w:r>
    </w:p>
    <w:p w14:paraId="729DF098" w14:textId="77777777" w:rsidR="00003498" w:rsidRDefault="00FD1FD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Rappelez vous la différence entre crise grave et crise vitale. Dans vital il y a vie et donc mort. Soyons prévenants dans notre langage . Pas d’injonctions contradictoires. Soyons concis modeste.</w:t>
      </w:r>
    </w:p>
    <w:p w14:paraId="3023DAF3" w14:textId="77777777" w:rsidR="00003498" w:rsidRDefault="0000349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6A936D1F" w14:textId="77777777" w:rsidR="00003498" w:rsidRDefault="00FD1FD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lastRenderedPageBreak/>
        <w:t>La RECONNAISSANCE en permanence.</w:t>
      </w:r>
    </w:p>
    <w:p w14:paraId="34CE3E17" w14:textId="77777777" w:rsidR="00003498" w:rsidRDefault="0000349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6730CD8C" w14:textId="77777777" w:rsidR="00003498" w:rsidRDefault="00FD1FD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Et puis faites ce que vou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s pouvez, tout simplement. </w:t>
      </w:r>
    </w:p>
    <w:p w14:paraId="564A61DA" w14:textId="77777777" w:rsidR="00003498" w:rsidRDefault="0000349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7E98DAE8" w14:textId="77777777" w:rsidR="00003498" w:rsidRDefault="00FD1FD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Toute l’équipe d’intervenants de MDS est à vos côtés et vous félicite pour votre engagement.</w:t>
      </w:r>
    </w:p>
    <w:p w14:paraId="4912FA01" w14:textId="77777777" w:rsidR="00003498" w:rsidRDefault="0000349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003498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Jean marie Toulisse" w:date="2020-03-30T12:27:00Z" w:initials="">
    <w:p w14:paraId="38067891" w14:textId="77777777" w:rsidR="00003498" w:rsidRDefault="00FD1FD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06789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7E658" w14:textId="77777777" w:rsidR="00FD1FD5" w:rsidRDefault="00FD1FD5">
      <w:r>
        <w:separator/>
      </w:r>
    </w:p>
  </w:endnote>
  <w:endnote w:type="continuationSeparator" w:id="0">
    <w:p w14:paraId="12C23B97" w14:textId="77777777" w:rsidR="00FD1FD5" w:rsidRDefault="00FD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5DC7F" w14:textId="77777777" w:rsidR="00003498" w:rsidRDefault="000034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3AF91" w14:textId="77777777" w:rsidR="00FD1FD5" w:rsidRDefault="00FD1FD5">
      <w:r>
        <w:separator/>
      </w:r>
    </w:p>
  </w:footnote>
  <w:footnote w:type="continuationSeparator" w:id="0">
    <w:p w14:paraId="39BD970C" w14:textId="77777777" w:rsidR="00FD1FD5" w:rsidRDefault="00FD1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55C84" w14:textId="77777777" w:rsidR="00003498" w:rsidRDefault="000034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98"/>
    <w:rsid w:val="00003498"/>
    <w:rsid w:val="00E52D36"/>
    <w:rsid w:val="00FD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8555"/>
  <w15:docId w15:val="{85915B98-094D-44E5-8FD9-34293E1D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dcterms:created xsi:type="dcterms:W3CDTF">2020-04-02T17:11:00Z</dcterms:created>
  <dcterms:modified xsi:type="dcterms:W3CDTF">2020-04-02T17:11:00Z</dcterms:modified>
</cp:coreProperties>
</file>